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0" w:type="dxa"/>
        <w:tblLayout w:type="fixed"/>
        <w:tblLook w:val="0000"/>
      </w:tblPr>
      <w:tblGrid>
        <w:gridCol w:w="3369"/>
        <w:gridCol w:w="6931"/>
      </w:tblGrid>
      <w:tr w:rsidR="007F64B6" w:rsidRPr="007F64B6" w:rsidTr="00482368">
        <w:tc>
          <w:tcPr>
            <w:tcW w:w="3369" w:type="dxa"/>
          </w:tcPr>
          <w:p w:rsidR="007F64B6" w:rsidRPr="009678F4" w:rsidRDefault="007F64B6" w:rsidP="00827162">
            <w:pPr>
              <w:spacing w:before="0" w:after="0" w:line="264" w:lineRule="auto"/>
              <w:jc w:val="center"/>
              <w:rPr>
                <w:rFonts w:eastAsia="Times New Roman" w:cs="Times New Roman"/>
                <w:b/>
                <w:sz w:val="26"/>
                <w:szCs w:val="26"/>
                <w:lang w:val="en-US"/>
              </w:rPr>
            </w:pPr>
            <w:r w:rsidRPr="009678F4">
              <w:rPr>
                <w:rFonts w:eastAsia="Times New Roman" w:cs="Times New Roman"/>
                <w:b/>
                <w:sz w:val="26"/>
                <w:szCs w:val="26"/>
                <w:lang w:val="en-US"/>
              </w:rPr>
              <w:t>BỘ TÀI CHÍNH</w:t>
            </w:r>
          </w:p>
          <w:p w:rsidR="007F64B6" w:rsidRPr="007F64B6" w:rsidRDefault="00CF4B77" w:rsidP="007F64B6">
            <w:pPr>
              <w:spacing w:before="0" w:after="0" w:line="264" w:lineRule="auto"/>
              <w:jc w:val="center"/>
              <w:rPr>
                <w:rFonts w:eastAsia="Times New Roman" w:cs="Times New Roman"/>
                <w:sz w:val="24"/>
                <w:szCs w:val="24"/>
                <w:lang w:val="en-US"/>
              </w:rPr>
            </w:pPr>
            <w:r w:rsidRPr="00CF4B77">
              <w:rPr>
                <w:rFonts w:eastAsia="Times New Roman" w:cs="Times New Roman"/>
                <w:noProof/>
                <w:sz w:val="24"/>
                <w:szCs w:val="24"/>
                <w:lang w:val="en-US"/>
              </w:rPr>
              <w:pict>
                <v:line id="_x0000_s1028" style="position:absolute;left:0;text-align:left;z-index:251660288" from="56.05pt,4.1pt" to="103.2pt,4.15pt"/>
              </w:pict>
            </w:r>
          </w:p>
          <w:p w:rsidR="007F64B6" w:rsidRPr="007F64B6" w:rsidRDefault="007F64B6" w:rsidP="007F64B6">
            <w:pPr>
              <w:spacing w:before="0" w:after="0" w:line="264" w:lineRule="auto"/>
              <w:jc w:val="both"/>
              <w:rPr>
                <w:rFonts w:eastAsia="Times New Roman" w:cs="Times New Roman"/>
                <w:b/>
                <w:sz w:val="24"/>
                <w:szCs w:val="24"/>
                <w:u w:val="single"/>
                <w:lang w:val="en-US"/>
              </w:rPr>
            </w:pPr>
          </w:p>
        </w:tc>
        <w:tc>
          <w:tcPr>
            <w:tcW w:w="6931" w:type="dxa"/>
          </w:tcPr>
          <w:p w:rsidR="007F64B6" w:rsidRPr="009678F4" w:rsidRDefault="007F64B6" w:rsidP="007F64B6">
            <w:pPr>
              <w:keepNext/>
              <w:spacing w:before="0" w:after="0"/>
              <w:jc w:val="center"/>
              <w:outlineLvl w:val="3"/>
              <w:rPr>
                <w:rFonts w:eastAsia="Times New Roman" w:cs="Times New Roman"/>
                <w:b/>
                <w:bCs/>
                <w:sz w:val="26"/>
                <w:szCs w:val="26"/>
                <w:lang w:val="en-AU"/>
              </w:rPr>
            </w:pPr>
            <w:r w:rsidRPr="009678F4">
              <w:rPr>
                <w:rFonts w:eastAsia="Times New Roman" w:cs="Times New Roman"/>
                <w:b/>
                <w:bCs/>
                <w:sz w:val="26"/>
                <w:szCs w:val="26"/>
                <w:lang w:val="en-AU"/>
              </w:rPr>
              <w:t>CỘNG HOÀ XÃ HỘI CHỦ NGHĨA VIỆT NAM</w:t>
            </w:r>
          </w:p>
          <w:p w:rsidR="007F64B6" w:rsidRPr="009678F4" w:rsidRDefault="007F64B6" w:rsidP="007F64B6">
            <w:pPr>
              <w:keepNext/>
              <w:spacing w:before="0" w:after="0"/>
              <w:jc w:val="center"/>
              <w:outlineLvl w:val="1"/>
              <w:rPr>
                <w:rFonts w:eastAsia="Times New Roman" w:cs="Times New Roman"/>
                <w:b/>
                <w:iCs/>
                <w:szCs w:val="28"/>
                <w:lang w:val="en-US"/>
              </w:rPr>
            </w:pPr>
            <w:r w:rsidRPr="009678F4">
              <w:rPr>
                <w:rFonts w:eastAsia="Times New Roman" w:cs="Times New Roman"/>
                <w:b/>
                <w:iCs/>
                <w:szCs w:val="28"/>
                <w:lang w:val="en-US"/>
              </w:rPr>
              <w:t>Độc lập - Tự do - Hạnh phúc</w:t>
            </w:r>
          </w:p>
          <w:p w:rsidR="007F64B6" w:rsidRPr="007F64B6" w:rsidRDefault="00CF4B77" w:rsidP="007F64B6">
            <w:pPr>
              <w:spacing w:before="0" w:after="0"/>
              <w:jc w:val="center"/>
              <w:rPr>
                <w:rFonts w:eastAsia="Times New Roman" w:cs="Times New Roman"/>
                <w:i/>
                <w:sz w:val="24"/>
                <w:szCs w:val="24"/>
                <w:lang w:val="en-US"/>
              </w:rPr>
            </w:pPr>
            <w:r w:rsidRPr="00CF4B77">
              <w:rPr>
                <w:rFonts w:eastAsia="Times New Roman" w:cs="Times New Roman"/>
                <w:b/>
                <w:i/>
                <w:noProof/>
                <w:sz w:val="24"/>
                <w:szCs w:val="24"/>
                <w:lang w:val="en-US"/>
              </w:rPr>
              <w:pict>
                <v:line id="_x0000_s1029" style="position:absolute;left:0;text-align:left;z-index:251661312" from="76.5pt,2.25pt" to="255.75pt,2.25pt"/>
              </w:pict>
            </w:r>
          </w:p>
          <w:p w:rsidR="007F64B6" w:rsidRPr="007F64B6" w:rsidRDefault="007F64B6" w:rsidP="003B17E7">
            <w:pPr>
              <w:tabs>
                <w:tab w:val="left" w:pos="2871"/>
              </w:tabs>
              <w:spacing w:before="0" w:after="0"/>
              <w:jc w:val="center"/>
              <w:rPr>
                <w:rFonts w:eastAsia="Times New Roman" w:cs="Times New Roman"/>
                <w:b/>
                <w:szCs w:val="28"/>
                <w:lang w:val="en-US"/>
              </w:rPr>
            </w:pPr>
            <w:r>
              <w:rPr>
                <w:rFonts w:eastAsia="Times New Roman" w:cs="Times New Roman"/>
                <w:i/>
                <w:szCs w:val="28"/>
                <w:lang w:val="en-US"/>
              </w:rPr>
              <w:t xml:space="preserve">Hà Nội, </w:t>
            </w:r>
            <w:r w:rsidRPr="007F64B6">
              <w:rPr>
                <w:rFonts w:eastAsia="Times New Roman" w:cs="Times New Roman"/>
                <w:i/>
                <w:szCs w:val="28"/>
                <w:lang w:val="en-US"/>
              </w:rPr>
              <w:t>ngày</w:t>
            </w:r>
            <w:r>
              <w:rPr>
                <w:rFonts w:eastAsia="Times New Roman" w:cs="Times New Roman"/>
                <w:i/>
                <w:szCs w:val="28"/>
                <w:lang w:val="en-US"/>
              </w:rPr>
              <w:t xml:space="preserve"> </w:t>
            </w:r>
            <w:r w:rsidR="003B17E7">
              <w:rPr>
                <w:rFonts w:eastAsia="Times New Roman" w:cs="Times New Roman"/>
                <w:i/>
                <w:szCs w:val="28"/>
                <w:lang w:val="en-US"/>
              </w:rPr>
              <w:t xml:space="preserve">      </w:t>
            </w:r>
            <w:r w:rsidRPr="007F64B6">
              <w:rPr>
                <w:rFonts w:eastAsia="Times New Roman" w:cs="Times New Roman"/>
                <w:i/>
                <w:szCs w:val="28"/>
                <w:lang w:val="en-US"/>
              </w:rPr>
              <w:t xml:space="preserve"> tháng </w:t>
            </w:r>
            <w:r w:rsidR="009678F4">
              <w:rPr>
                <w:rFonts w:eastAsia="Times New Roman" w:cs="Times New Roman"/>
                <w:i/>
                <w:szCs w:val="28"/>
                <w:lang w:val="en-US"/>
              </w:rPr>
              <w:t>01</w:t>
            </w:r>
            <w:r w:rsidRPr="007F64B6">
              <w:rPr>
                <w:rFonts w:eastAsia="Times New Roman" w:cs="Times New Roman"/>
                <w:i/>
                <w:szCs w:val="28"/>
                <w:lang w:val="en-US"/>
              </w:rPr>
              <w:t xml:space="preserve"> năm 20</w:t>
            </w:r>
            <w:r w:rsidR="009678F4">
              <w:rPr>
                <w:rFonts w:eastAsia="Times New Roman" w:cs="Times New Roman"/>
                <w:i/>
                <w:szCs w:val="28"/>
                <w:lang w:val="en-US"/>
              </w:rPr>
              <w:t>21</w:t>
            </w:r>
          </w:p>
        </w:tc>
      </w:tr>
    </w:tbl>
    <w:p w:rsidR="007F64B6" w:rsidRPr="007F64B6" w:rsidRDefault="007F64B6" w:rsidP="007F64B6">
      <w:pPr>
        <w:tabs>
          <w:tab w:val="left" w:pos="6615"/>
        </w:tabs>
        <w:spacing w:before="0" w:after="0" w:line="264" w:lineRule="auto"/>
        <w:jc w:val="both"/>
        <w:rPr>
          <w:rFonts w:eastAsia="Times New Roman" w:cs="Times New Roman"/>
          <w:b/>
          <w:sz w:val="24"/>
          <w:szCs w:val="24"/>
          <w:lang w:val="en-US"/>
        </w:rPr>
      </w:pPr>
      <w:r w:rsidRPr="007F64B6">
        <w:rPr>
          <w:rFonts w:eastAsia="Times New Roman" w:cs="Times New Roman"/>
          <w:b/>
          <w:sz w:val="24"/>
          <w:szCs w:val="24"/>
          <w:lang w:val="en-US"/>
        </w:rPr>
        <w:tab/>
      </w:r>
    </w:p>
    <w:p w:rsidR="003A7981" w:rsidRDefault="003A7981" w:rsidP="007F64B6">
      <w:pPr>
        <w:spacing w:before="0" w:after="0"/>
        <w:jc w:val="center"/>
        <w:rPr>
          <w:rFonts w:eastAsia="Times New Roman" w:cs="Times New Roman"/>
          <w:szCs w:val="28"/>
          <w:lang w:val="en-US"/>
        </w:rPr>
      </w:pPr>
    </w:p>
    <w:p w:rsidR="006171AC" w:rsidRPr="006171AC" w:rsidRDefault="009678F4" w:rsidP="007F64B6">
      <w:pPr>
        <w:spacing w:before="0" w:after="0"/>
        <w:jc w:val="center"/>
        <w:rPr>
          <w:rFonts w:eastAsia="Times New Roman" w:cs="Times New Roman"/>
          <w:b/>
          <w:sz w:val="26"/>
          <w:szCs w:val="26"/>
          <w:lang w:val="en-US"/>
        </w:rPr>
      </w:pPr>
      <w:r>
        <w:rPr>
          <w:rFonts w:eastAsia="Times New Roman" w:cs="Times New Roman"/>
          <w:b/>
          <w:sz w:val="26"/>
          <w:szCs w:val="26"/>
          <w:lang w:val="en-US"/>
        </w:rPr>
        <w:t>B</w:t>
      </w:r>
      <w:r w:rsidRPr="009678F4">
        <w:rPr>
          <w:rFonts w:eastAsia="Times New Roman" w:cs="Times New Roman"/>
          <w:b/>
          <w:sz w:val="26"/>
          <w:szCs w:val="26"/>
          <w:lang w:val="en-US"/>
        </w:rPr>
        <w:t>Á</w:t>
      </w:r>
      <w:r>
        <w:rPr>
          <w:rFonts w:eastAsia="Times New Roman" w:cs="Times New Roman"/>
          <w:b/>
          <w:sz w:val="26"/>
          <w:szCs w:val="26"/>
          <w:lang w:val="en-US"/>
        </w:rPr>
        <w:t>O C</w:t>
      </w:r>
      <w:r w:rsidRPr="009678F4">
        <w:rPr>
          <w:rFonts w:eastAsia="Times New Roman" w:cs="Times New Roman"/>
          <w:b/>
          <w:sz w:val="26"/>
          <w:szCs w:val="26"/>
          <w:lang w:val="en-US"/>
        </w:rPr>
        <w:t>Á</w:t>
      </w:r>
      <w:r>
        <w:rPr>
          <w:rFonts w:eastAsia="Times New Roman" w:cs="Times New Roman"/>
          <w:b/>
          <w:sz w:val="26"/>
          <w:szCs w:val="26"/>
          <w:lang w:val="en-US"/>
        </w:rPr>
        <w:t>O</w:t>
      </w:r>
      <w:r w:rsidR="006171AC" w:rsidRPr="006171AC">
        <w:rPr>
          <w:rFonts w:eastAsia="Times New Roman" w:cs="Times New Roman"/>
          <w:b/>
          <w:sz w:val="26"/>
          <w:szCs w:val="26"/>
          <w:lang w:val="en-US"/>
        </w:rPr>
        <w:t xml:space="preserve"> TIẾP THU, GIẢI TRÌNH Ý KIẾN CÁC CƠ QUAN, TỔ CHỨC</w:t>
      </w:r>
    </w:p>
    <w:p w:rsidR="009678F4" w:rsidRPr="009678F4" w:rsidRDefault="007F64B6" w:rsidP="009678F4">
      <w:pPr>
        <w:spacing w:before="0" w:after="0"/>
        <w:jc w:val="center"/>
        <w:rPr>
          <w:i/>
          <w:szCs w:val="28"/>
        </w:rPr>
      </w:pPr>
      <w:r w:rsidRPr="009678F4">
        <w:rPr>
          <w:rFonts w:eastAsia="Times New Roman" w:cs="Times New Roman"/>
          <w:i/>
          <w:sz w:val="26"/>
          <w:szCs w:val="26"/>
          <w:lang w:val="en-US"/>
        </w:rPr>
        <w:t xml:space="preserve"> V</w:t>
      </w:r>
      <w:r w:rsidR="00904504" w:rsidRPr="009678F4">
        <w:rPr>
          <w:rFonts w:eastAsia="Times New Roman" w:cs="Times New Roman"/>
          <w:i/>
          <w:sz w:val="26"/>
          <w:szCs w:val="26"/>
          <w:lang w:val="en-US"/>
        </w:rPr>
        <w:t>/v</w:t>
      </w:r>
      <w:r w:rsidRPr="009678F4">
        <w:rPr>
          <w:rFonts w:eastAsia="Times New Roman" w:cs="Times New Roman"/>
          <w:i/>
          <w:sz w:val="26"/>
          <w:szCs w:val="26"/>
          <w:lang w:val="en-US"/>
        </w:rPr>
        <w:t xml:space="preserve"> </w:t>
      </w:r>
      <w:r w:rsidR="009678F4" w:rsidRPr="009678F4">
        <w:rPr>
          <w:rFonts w:eastAsia="Times New Roman" w:cs="Times New Roman"/>
          <w:i/>
          <w:sz w:val="26"/>
          <w:szCs w:val="26"/>
          <w:lang w:val="en-US"/>
        </w:rPr>
        <w:t xml:space="preserve">dự thảo Nghị định </w:t>
      </w:r>
      <w:r w:rsidR="009678F4" w:rsidRPr="009678F4">
        <w:rPr>
          <w:i/>
          <w:szCs w:val="28"/>
        </w:rPr>
        <w:t xml:space="preserve">hướng dẫn thực hiện </w:t>
      </w:r>
      <w:r w:rsidR="003B17E7">
        <w:rPr>
          <w:i/>
          <w:szCs w:val="28"/>
          <w:lang w:val="en-US"/>
        </w:rPr>
        <w:t>v</w:t>
      </w:r>
      <w:r w:rsidR="003B17E7" w:rsidRPr="003B17E7">
        <w:rPr>
          <w:i/>
          <w:szCs w:val="28"/>
          <w:lang w:val="en-US"/>
        </w:rPr>
        <w:t>ề</w:t>
      </w:r>
      <w:r w:rsidR="003B17E7">
        <w:rPr>
          <w:i/>
          <w:szCs w:val="28"/>
          <w:lang w:val="en-US"/>
        </w:rPr>
        <w:t xml:space="preserve"> </w:t>
      </w:r>
      <w:r w:rsidR="009678F4" w:rsidRPr="009678F4">
        <w:rPr>
          <w:i/>
          <w:szCs w:val="28"/>
        </w:rPr>
        <w:t xml:space="preserve">chi phí được trừ khi xác định </w:t>
      </w:r>
    </w:p>
    <w:p w:rsidR="009678F4" w:rsidRPr="009678F4" w:rsidRDefault="009678F4" w:rsidP="009678F4">
      <w:pPr>
        <w:spacing w:before="0" w:after="0"/>
        <w:jc w:val="center"/>
        <w:rPr>
          <w:i/>
          <w:szCs w:val="28"/>
        </w:rPr>
      </w:pPr>
      <w:r w:rsidRPr="009678F4">
        <w:rPr>
          <w:i/>
          <w:szCs w:val="28"/>
        </w:rPr>
        <w:t xml:space="preserve">thu nhập chịu thuế TNDN đối với khoản chi ủng hộ, tài trợ </w:t>
      </w:r>
    </w:p>
    <w:p w:rsidR="007F64B6" w:rsidRPr="009678F4" w:rsidRDefault="009678F4" w:rsidP="009678F4">
      <w:pPr>
        <w:spacing w:before="0" w:after="0"/>
        <w:ind w:left="-142" w:right="-143"/>
        <w:jc w:val="center"/>
        <w:rPr>
          <w:rFonts w:eastAsia="Times New Roman" w:cs="Times New Roman"/>
          <w:i/>
          <w:szCs w:val="28"/>
        </w:rPr>
      </w:pPr>
      <w:r w:rsidRPr="009678F4">
        <w:rPr>
          <w:i/>
          <w:szCs w:val="28"/>
        </w:rPr>
        <w:t>cho các hoạt động phòng, chống dịch Covid-19</w:t>
      </w:r>
    </w:p>
    <w:p w:rsidR="007F64B6" w:rsidRPr="007F64B6" w:rsidRDefault="007F64B6" w:rsidP="007F64B6">
      <w:pPr>
        <w:spacing w:before="0" w:after="0"/>
        <w:jc w:val="center"/>
        <w:rPr>
          <w:rFonts w:eastAsia="Times New Roman" w:cs="Times New Roman"/>
          <w:sz w:val="12"/>
          <w:szCs w:val="12"/>
          <w:lang w:val="nl-NL"/>
        </w:rPr>
      </w:pPr>
      <w:r w:rsidRPr="00B21012">
        <w:rPr>
          <w:rFonts w:eastAsia="Times New Roman" w:cs="Times New Roman"/>
          <w:sz w:val="12"/>
          <w:szCs w:val="12"/>
          <w:lang w:val="nl-NL"/>
        </w:rPr>
        <w:t>____________________________</w:t>
      </w:r>
      <w:r w:rsidR="00B21012">
        <w:rPr>
          <w:rFonts w:eastAsia="Times New Roman" w:cs="Times New Roman"/>
          <w:sz w:val="12"/>
          <w:szCs w:val="12"/>
          <w:lang w:val="nl-NL"/>
        </w:rPr>
        <w:t>_____________________________</w:t>
      </w:r>
    </w:p>
    <w:p w:rsidR="007F64B6" w:rsidRDefault="007F64B6" w:rsidP="003A7981">
      <w:pPr>
        <w:ind w:firstLine="720"/>
        <w:jc w:val="both"/>
        <w:rPr>
          <w:rFonts w:eastAsia="Times New Roman" w:cs="Times New Roman"/>
          <w:szCs w:val="28"/>
          <w:lang w:val="nl-NL"/>
        </w:rPr>
      </w:pPr>
    </w:p>
    <w:p w:rsidR="00B21012" w:rsidRPr="007F64B6" w:rsidRDefault="00B21012" w:rsidP="003A7981">
      <w:pPr>
        <w:ind w:firstLine="720"/>
        <w:jc w:val="both"/>
        <w:rPr>
          <w:rFonts w:eastAsia="Times New Roman" w:cs="Times New Roman"/>
          <w:szCs w:val="28"/>
          <w:lang w:val="nl-NL"/>
        </w:rPr>
      </w:pPr>
    </w:p>
    <w:p w:rsidR="009678F4" w:rsidRPr="009678F4" w:rsidRDefault="007F64B6" w:rsidP="003A7981">
      <w:pPr>
        <w:jc w:val="both"/>
        <w:rPr>
          <w:rFonts w:eastAsia="Times New Roman" w:cs="Times New Roman"/>
          <w:szCs w:val="28"/>
        </w:rPr>
      </w:pPr>
      <w:r>
        <w:rPr>
          <w:rFonts w:eastAsia="Times New Roman" w:cs="Times New Roman"/>
          <w:szCs w:val="28"/>
          <w:lang w:val="nl-NL"/>
        </w:rPr>
        <w:tab/>
      </w:r>
      <w:r w:rsidR="009678F4" w:rsidRPr="009678F4">
        <w:rPr>
          <w:rFonts w:eastAsia="Times New Roman" w:cs="Times New Roman"/>
          <w:szCs w:val="28"/>
        </w:rPr>
        <w:t>Triển khai thực hiện khoản 8 Điều 3 Nghị quyết số 128/2020/QH14 của Quốc hội về dự toán</w:t>
      </w:r>
      <w:r w:rsidR="003B17E7" w:rsidRPr="003B17E7">
        <w:rPr>
          <w:rFonts w:eastAsia="Times New Roman" w:cs="Times New Roman"/>
          <w:szCs w:val="28"/>
        </w:rPr>
        <w:t xml:space="preserve"> n</w:t>
      </w:r>
      <w:r w:rsidR="003B17E7" w:rsidRPr="003B17E7">
        <w:rPr>
          <w:rFonts w:eastAsia="Times New Roman" w:cs="Times New Roman"/>
          <w:szCs w:val="28"/>
          <w:lang w:val="nl-NL"/>
        </w:rPr>
        <w:t>gâ</w:t>
      </w:r>
      <w:r w:rsidR="003B17E7">
        <w:rPr>
          <w:rFonts w:eastAsia="Times New Roman" w:cs="Times New Roman"/>
          <w:szCs w:val="28"/>
          <w:lang w:val="nl-NL"/>
        </w:rPr>
        <w:t>n s</w:t>
      </w:r>
      <w:r w:rsidR="003B17E7" w:rsidRPr="003B17E7">
        <w:rPr>
          <w:rFonts w:eastAsia="Times New Roman" w:cs="Times New Roman"/>
          <w:szCs w:val="28"/>
          <w:lang w:val="nl-NL"/>
        </w:rPr>
        <w:t>ác</w:t>
      </w:r>
      <w:r w:rsidR="003B17E7">
        <w:rPr>
          <w:rFonts w:eastAsia="Times New Roman" w:cs="Times New Roman"/>
          <w:szCs w:val="28"/>
          <w:lang w:val="nl-NL"/>
        </w:rPr>
        <w:t>h nh</w:t>
      </w:r>
      <w:r w:rsidR="003B17E7" w:rsidRPr="003B17E7">
        <w:rPr>
          <w:rFonts w:eastAsia="Times New Roman" w:cs="Times New Roman"/>
          <w:szCs w:val="28"/>
          <w:lang w:val="nl-NL"/>
        </w:rPr>
        <w:t>à</w:t>
      </w:r>
      <w:r w:rsidR="003B17E7">
        <w:rPr>
          <w:rFonts w:eastAsia="Times New Roman" w:cs="Times New Roman"/>
          <w:szCs w:val="28"/>
          <w:lang w:val="nl-NL"/>
        </w:rPr>
        <w:t xml:space="preserve"> nư</w:t>
      </w:r>
      <w:r w:rsidR="003B17E7" w:rsidRPr="003B17E7">
        <w:rPr>
          <w:rFonts w:eastAsia="Times New Roman" w:cs="Times New Roman"/>
          <w:szCs w:val="28"/>
          <w:lang w:val="nl-NL"/>
        </w:rPr>
        <w:t>ớc</w:t>
      </w:r>
      <w:r w:rsidR="003B17E7">
        <w:rPr>
          <w:rFonts w:eastAsia="Times New Roman" w:cs="Times New Roman"/>
          <w:szCs w:val="28"/>
          <w:lang w:val="nl-NL"/>
        </w:rPr>
        <w:t xml:space="preserve"> (</w:t>
      </w:r>
      <w:r w:rsidR="009678F4" w:rsidRPr="009678F4">
        <w:rPr>
          <w:rFonts w:eastAsia="Times New Roman" w:cs="Times New Roman"/>
          <w:szCs w:val="28"/>
        </w:rPr>
        <w:t>NSNN</w:t>
      </w:r>
      <w:r w:rsidR="003B17E7" w:rsidRPr="003B17E7">
        <w:rPr>
          <w:rFonts w:eastAsia="Times New Roman" w:cs="Times New Roman"/>
          <w:szCs w:val="28"/>
          <w:lang w:val="nl-NL"/>
        </w:rPr>
        <w:t>)</w:t>
      </w:r>
      <w:r w:rsidR="009678F4" w:rsidRPr="009678F4">
        <w:rPr>
          <w:rFonts w:eastAsia="Times New Roman" w:cs="Times New Roman"/>
          <w:szCs w:val="28"/>
        </w:rPr>
        <w:t xml:space="preserve"> năm 2021 và điểm 1 Nghị quyết số 178/NQ-CP ngày 12/12/2020 của Chính phủ về Phiên họp Chính phủ thường kỳ tháng 11 năm 2020, Bộ</w:t>
      </w:r>
      <w:r w:rsidR="009678F4" w:rsidRPr="009678F4">
        <w:rPr>
          <w:rFonts w:eastAsia="Times New Roman" w:cs="Times New Roman"/>
          <w:szCs w:val="28"/>
          <w:lang w:val="nl-NL"/>
        </w:rPr>
        <w:t xml:space="preserve"> </w:t>
      </w:r>
      <w:r w:rsidR="009678F4">
        <w:rPr>
          <w:rFonts w:eastAsia="Times New Roman" w:cs="Times New Roman"/>
          <w:szCs w:val="28"/>
          <w:lang w:val="nl-NL"/>
        </w:rPr>
        <w:t>T</w:t>
      </w:r>
      <w:r w:rsidR="009678F4" w:rsidRPr="009678F4">
        <w:rPr>
          <w:rFonts w:eastAsia="Times New Roman" w:cs="Times New Roman"/>
          <w:szCs w:val="28"/>
          <w:lang w:val="nl-NL"/>
        </w:rPr>
        <w:t>à</w:t>
      </w:r>
      <w:r w:rsidR="009678F4">
        <w:rPr>
          <w:rFonts w:eastAsia="Times New Roman" w:cs="Times New Roman"/>
          <w:szCs w:val="28"/>
          <w:lang w:val="nl-NL"/>
        </w:rPr>
        <w:t>i ch</w:t>
      </w:r>
      <w:r w:rsidR="009678F4" w:rsidRPr="009678F4">
        <w:rPr>
          <w:rFonts w:eastAsia="Times New Roman" w:cs="Times New Roman"/>
          <w:szCs w:val="28"/>
          <w:lang w:val="nl-NL"/>
        </w:rPr>
        <w:t>ính</w:t>
      </w:r>
      <w:r w:rsidR="009678F4">
        <w:rPr>
          <w:rFonts w:eastAsia="Times New Roman" w:cs="Times New Roman"/>
          <w:szCs w:val="28"/>
          <w:lang w:val="nl-NL"/>
        </w:rPr>
        <w:t xml:space="preserve"> </w:t>
      </w:r>
      <w:r w:rsidR="009678F4" w:rsidRPr="009678F4">
        <w:rPr>
          <w:rFonts w:eastAsia="Times New Roman" w:cs="Times New Roman"/>
          <w:szCs w:val="28"/>
          <w:lang w:val="nl-NL"/>
        </w:rPr>
        <w:t>đã</w:t>
      </w:r>
      <w:r w:rsidR="009678F4" w:rsidRPr="009678F4">
        <w:rPr>
          <w:rFonts w:eastAsia="Times New Roman" w:cs="Times New Roman"/>
          <w:szCs w:val="28"/>
        </w:rPr>
        <w:t xml:space="preserve"> xây dựng dự thảo Nghị định hướng dẫn thực hiện </w:t>
      </w:r>
      <w:r w:rsidR="003B17E7" w:rsidRPr="003B17E7">
        <w:rPr>
          <w:rFonts w:eastAsia="Times New Roman" w:cs="Times New Roman"/>
          <w:szCs w:val="28"/>
          <w:lang w:val="nl-NL"/>
        </w:rPr>
        <w:t>về</w:t>
      </w:r>
      <w:r w:rsidR="003B17E7">
        <w:rPr>
          <w:rFonts w:eastAsia="Times New Roman" w:cs="Times New Roman"/>
          <w:szCs w:val="28"/>
          <w:lang w:val="nl-NL"/>
        </w:rPr>
        <w:t xml:space="preserve"> </w:t>
      </w:r>
      <w:r w:rsidR="009678F4" w:rsidRPr="009678F4">
        <w:rPr>
          <w:rFonts w:eastAsia="Times New Roman" w:cs="Times New Roman"/>
          <w:szCs w:val="28"/>
        </w:rPr>
        <w:t xml:space="preserve">chi phí được trừ khi xác định thu nhập chịu thuế </w:t>
      </w:r>
      <w:r w:rsidR="003B17E7" w:rsidRPr="003B17E7">
        <w:rPr>
          <w:rFonts w:eastAsia="Times New Roman" w:cs="Times New Roman"/>
          <w:szCs w:val="28"/>
          <w:lang w:val="nl-NL"/>
        </w:rPr>
        <w:t>th</w:t>
      </w:r>
      <w:r w:rsidR="003B17E7">
        <w:rPr>
          <w:rFonts w:eastAsia="Times New Roman" w:cs="Times New Roman"/>
          <w:szCs w:val="28"/>
          <w:lang w:val="nl-NL"/>
        </w:rPr>
        <w:t>u nh</w:t>
      </w:r>
      <w:r w:rsidR="003B17E7" w:rsidRPr="003B17E7">
        <w:rPr>
          <w:rFonts w:eastAsia="Times New Roman" w:cs="Times New Roman"/>
          <w:szCs w:val="28"/>
          <w:lang w:val="nl-NL"/>
        </w:rPr>
        <w:t>ập</w:t>
      </w:r>
      <w:r w:rsidR="003B17E7">
        <w:rPr>
          <w:rFonts w:eastAsia="Times New Roman" w:cs="Times New Roman"/>
          <w:szCs w:val="28"/>
          <w:lang w:val="nl-NL"/>
        </w:rPr>
        <w:t xml:space="preserve"> doanh nghi</w:t>
      </w:r>
      <w:r w:rsidR="003B17E7" w:rsidRPr="003B17E7">
        <w:rPr>
          <w:rFonts w:eastAsia="Times New Roman" w:cs="Times New Roman"/>
          <w:szCs w:val="28"/>
          <w:lang w:val="nl-NL"/>
        </w:rPr>
        <w:t>ệp</w:t>
      </w:r>
      <w:r w:rsidR="003B17E7">
        <w:rPr>
          <w:rFonts w:eastAsia="Times New Roman" w:cs="Times New Roman"/>
          <w:szCs w:val="28"/>
          <w:lang w:val="nl-NL"/>
        </w:rPr>
        <w:t xml:space="preserve"> (</w:t>
      </w:r>
      <w:r w:rsidR="009678F4" w:rsidRPr="009678F4">
        <w:rPr>
          <w:rFonts w:eastAsia="Times New Roman" w:cs="Times New Roman"/>
          <w:szCs w:val="28"/>
        </w:rPr>
        <w:t>TNDN</w:t>
      </w:r>
      <w:r w:rsidR="003B17E7" w:rsidRPr="003B17E7">
        <w:rPr>
          <w:rFonts w:eastAsia="Times New Roman" w:cs="Times New Roman"/>
          <w:szCs w:val="28"/>
          <w:lang w:val="nl-NL"/>
        </w:rPr>
        <w:t>)</w:t>
      </w:r>
      <w:r w:rsidR="009678F4" w:rsidRPr="009678F4">
        <w:rPr>
          <w:rFonts w:eastAsia="Times New Roman" w:cs="Times New Roman"/>
          <w:szCs w:val="28"/>
        </w:rPr>
        <w:t xml:space="preserve"> đối với khoản chi ủng hộ, tài trợ </w:t>
      </w:r>
      <w:r w:rsidR="003A7981" w:rsidRPr="003A7981">
        <w:rPr>
          <w:rFonts w:eastAsia="Times New Roman" w:cs="Times New Roman"/>
          <w:szCs w:val="28"/>
          <w:lang w:val="nl-NL"/>
        </w:rPr>
        <w:t>của</w:t>
      </w:r>
      <w:r w:rsidR="003A7981">
        <w:rPr>
          <w:rFonts w:eastAsia="Times New Roman" w:cs="Times New Roman"/>
          <w:szCs w:val="28"/>
          <w:lang w:val="nl-NL"/>
        </w:rPr>
        <w:t xml:space="preserve"> doanh nghi</w:t>
      </w:r>
      <w:r w:rsidR="003A7981" w:rsidRPr="003A7981">
        <w:rPr>
          <w:rFonts w:eastAsia="Times New Roman" w:cs="Times New Roman"/>
          <w:szCs w:val="28"/>
          <w:lang w:val="nl-NL"/>
        </w:rPr>
        <w:t>ệp</w:t>
      </w:r>
      <w:r w:rsidR="003A7981">
        <w:rPr>
          <w:rFonts w:eastAsia="Times New Roman" w:cs="Times New Roman"/>
          <w:szCs w:val="28"/>
          <w:lang w:val="nl-NL"/>
        </w:rPr>
        <w:t>, t</w:t>
      </w:r>
      <w:r w:rsidR="003A7981" w:rsidRPr="003A7981">
        <w:rPr>
          <w:rFonts w:eastAsia="Times New Roman" w:cs="Times New Roman"/>
          <w:szCs w:val="28"/>
          <w:lang w:val="nl-NL"/>
        </w:rPr>
        <w:t>ổ</w:t>
      </w:r>
      <w:r w:rsidR="003A7981">
        <w:rPr>
          <w:rFonts w:eastAsia="Times New Roman" w:cs="Times New Roman"/>
          <w:szCs w:val="28"/>
          <w:lang w:val="nl-NL"/>
        </w:rPr>
        <w:t xml:space="preserve"> ch</w:t>
      </w:r>
      <w:r w:rsidR="003A7981" w:rsidRPr="003A7981">
        <w:rPr>
          <w:rFonts w:eastAsia="Times New Roman" w:cs="Times New Roman"/>
          <w:szCs w:val="28"/>
          <w:lang w:val="nl-NL"/>
        </w:rPr>
        <w:t>ức</w:t>
      </w:r>
      <w:r w:rsidR="003A7981">
        <w:rPr>
          <w:rFonts w:eastAsia="Times New Roman" w:cs="Times New Roman"/>
          <w:szCs w:val="28"/>
          <w:lang w:val="nl-NL"/>
        </w:rPr>
        <w:t xml:space="preserve"> </w:t>
      </w:r>
      <w:r w:rsidR="009678F4" w:rsidRPr="009678F4">
        <w:rPr>
          <w:rFonts w:eastAsia="Times New Roman" w:cs="Times New Roman"/>
          <w:szCs w:val="28"/>
        </w:rPr>
        <w:t xml:space="preserve">cho các hoạt động phòng, chống dịch Covid-19 và </w:t>
      </w:r>
      <w:r w:rsidR="009678F4" w:rsidRPr="009678F4">
        <w:rPr>
          <w:rFonts w:eastAsia="Times New Roman" w:cs="Times New Roman"/>
          <w:szCs w:val="28"/>
          <w:lang w:val="nl-NL"/>
        </w:rPr>
        <w:t>có</w:t>
      </w:r>
      <w:r w:rsidR="009678F4" w:rsidRPr="009678F4">
        <w:rPr>
          <w:rFonts w:eastAsia="Times New Roman" w:cs="Times New Roman"/>
          <w:szCs w:val="28"/>
        </w:rPr>
        <w:t xml:space="preserve"> công văn số 15256/BTC-CST ngày 11/12/2020 gửi lấy ý kiến của các cơ quan, tổ chức; đã phối hợp đăng tải dự thảo trên Cổng thông tin điện tử của Chính phủ và của Bộ Tài chính để lấy ý kiến rộng rãi theo quy định của Luật Ban hành văn bản quy phạm pháp luật.</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t xml:space="preserve">Đến nay, Bộ Tài chính đã nhận được ý kiến tham gia của </w:t>
      </w:r>
      <w:r w:rsidR="003B17E7" w:rsidRPr="003B17E7">
        <w:rPr>
          <w:rFonts w:eastAsia="Times New Roman" w:cs="Times New Roman"/>
          <w:szCs w:val="28"/>
        </w:rPr>
        <w:t>59</w:t>
      </w:r>
      <w:r w:rsidRPr="009678F4">
        <w:rPr>
          <w:rFonts w:eastAsia="Times New Roman" w:cs="Times New Roman"/>
          <w:szCs w:val="28"/>
        </w:rPr>
        <w:t xml:space="preserve"> cơ quan, địa phương (1</w:t>
      </w:r>
      <w:r w:rsidR="003B17E7" w:rsidRPr="003B17E7">
        <w:rPr>
          <w:rFonts w:eastAsia="Times New Roman" w:cs="Times New Roman"/>
          <w:szCs w:val="28"/>
        </w:rPr>
        <w:t>7</w:t>
      </w:r>
      <w:r w:rsidRPr="009678F4">
        <w:rPr>
          <w:rFonts w:eastAsia="Times New Roman" w:cs="Times New Roman"/>
          <w:szCs w:val="28"/>
        </w:rPr>
        <w:t xml:space="preserve"> Bộ; 0</w:t>
      </w:r>
      <w:r w:rsidR="003B17E7" w:rsidRPr="003B17E7">
        <w:rPr>
          <w:rFonts w:eastAsia="Times New Roman" w:cs="Times New Roman"/>
          <w:szCs w:val="28"/>
        </w:rPr>
        <w:t>9</w:t>
      </w:r>
      <w:r w:rsidRPr="009678F4">
        <w:rPr>
          <w:rFonts w:eastAsia="Times New Roman" w:cs="Times New Roman"/>
          <w:szCs w:val="28"/>
        </w:rPr>
        <w:t xml:space="preserve"> cơ quan; 3</w:t>
      </w:r>
      <w:r w:rsidR="003B17E7" w:rsidRPr="003B17E7">
        <w:rPr>
          <w:rFonts w:eastAsia="Times New Roman" w:cs="Times New Roman"/>
          <w:szCs w:val="28"/>
        </w:rPr>
        <w:t>3</w:t>
      </w:r>
      <w:r w:rsidRPr="009678F4">
        <w:rPr>
          <w:rFonts w:eastAsia="Times New Roman" w:cs="Times New Roman"/>
          <w:szCs w:val="28"/>
        </w:rPr>
        <w:t xml:space="preserve"> địa phương</w:t>
      </w:r>
      <w:r w:rsidR="003B17E7" w:rsidRPr="003B17E7">
        <w:rPr>
          <w:rFonts w:eastAsia="Times New Roman" w:cs="Times New Roman"/>
          <w:szCs w:val="28"/>
        </w:rPr>
        <w:t>)</w:t>
      </w:r>
      <w:r w:rsidRPr="009678F4">
        <w:rPr>
          <w:rFonts w:eastAsia="Times New Roman" w:cs="Times New Roman"/>
          <w:szCs w:val="28"/>
        </w:rPr>
        <w:t xml:space="preserve"> và 01 doanh nghiệp, trong đó có 42 ý kiến hoàn toàn nhất trí với dự thảo; các ý kiến còn lại cơ bản nhất trí với dự thảo và có đề nghị hoàn ch</w:t>
      </w:r>
      <w:r w:rsidR="003A7981">
        <w:rPr>
          <w:rFonts w:eastAsia="Times New Roman" w:cs="Times New Roman"/>
          <w:szCs w:val="28"/>
        </w:rPr>
        <w:t>ỉnh một số nội dung tại dự thảo</w:t>
      </w:r>
      <w:r w:rsidRPr="009678F4">
        <w:rPr>
          <w:rFonts w:eastAsia="Times New Roman" w:cs="Times New Roman"/>
          <w:szCs w:val="28"/>
        </w:rPr>
        <w:t>. Bộ Tài chính xin báo cáo về việc tiếp thu, giải trình các ý kiến tham gia như sau:</w:t>
      </w:r>
    </w:p>
    <w:p w:rsidR="009678F4" w:rsidRPr="009678F4" w:rsidRDefault="009678F4" w:rsidP="009678F4">
      <w:pPr>
        <w:jc w:val="both"/>
        <w:rPr>
          <w:rFonts w:eastAsia="Times New Roman" w:cs="Times New Roman"/>
          <w:b/>
          <w:szCs w:val="28"/>
        </w:rPr>
      </w:pPr>
      <w:r w:rsidRPr="009678F4">
        <w:rPr>
          <w:rFonts w:eastAsia="Times New Roman" w:cs="Times New Roman"/>
          <w:b/>
          <w:szCs w:val="28"/>
        </w:rPr>
        <w:tab/>
        <w:t>1. Về các nội dung được tiếp thu để hoàn chỉnh dự thảo</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r>
      <w:r w:rsidRPr="009678F4">
        <w:rPr>
          <w:rFonts w:eastAsia="Times New Roman" w:cs="Times New Roman"/>
          <w:b/>
          <w:szCs w:val="28"/>
        </w:rPr>
        <w:t>- Về thể thức, kỹ thuật soạn thảo:</w:t>
      </w:r>
      <w:r w:rsidRPr="009678F4">
        <w:rPr>
          <w:rFonts w:eastAsia="Times New Roman" w:cs="Times New Roman"/>
          <w:szCs w:val="28"/>
        </w:rPr>
        <w:t xml:space="preserve"> một số ý kiến (Bộ Tư pháp, Bộ Công Thương, UBND tỉnh Lạng Sơn) đề nghị rà soát, hoàn chỉnh về mặt thể thức, trích dẫn cơ sở pháp lý để đảm bảo phù hợp với Luật Ban hành văn bản quy phạm pháp luật và Nghị định số 34/2016/NĐ-CP ngày 14/5/2016 của Chính phủ. Bộ Tài chính đã tiế</w:t>
      </w:r>
      <w:r w:rsidR="003B17E7">
        <w:rPr>
          <w:rFonts w:eastAsia="Times New Roman" w:cs="Times New Roman"/>
          <w:szCs w:val="28"/>
        </w:rPr>
        <w:t xml:space="preserve">p thu ý kiến này để hoàn chỉnh </w:t>
      </w:r>
      <w:r w:rsidR="003B17E7" w:rsidRPr="003B17E7">
        <w:rPr>
          <w:rFonts w:eastAsia="Times New Roman" w:cs="Times New Roman"/>
          <w:szCs w:val="28"/>
        </w:rPr>
        <w:t>l</w:t>
      </w:r>
      <w:r w:rsidRPr="009678F4">
        <w:rPr>
          <w:rFonts w:eastAsia="Times New Roman" w:cs="Times New Roman"/>
          <w:szCs w:val="28"/>
        </w:rPr>
        <w:t>ại dự thảo Nghị định.</w:t>
      </w:r>
    </w:p>
    <w:p w:rsidR="003A7981" w:rsidRDefault="009678F4" w:rsidP="009678F4">
      <w:pPr>
        <w:jc w:val="both"/>
        <w:rPr>
          <w:rFonts w:eastAsia="Times New Roman" w:cs="Times New Roman"/>
          <w:szCs w:val="28"/>
        </w:rPr>
        <w:sectPr w:rsidR="003A7981" w:rsidSect="003A7981">
          <w:headerReference w:type="default" r:id="rId7"/>
          <w:footerReference w:type="default" r:id="rId8"/>
          <w:pgSz w:w="11906" w:h="16838" w:code="9"/>
          <w:pgMar w:top="1134" w:right="1134" w:bottom="340" w:left="1701" w:header="284" w:footer="284" w:gutter="0"/>
          <w:cols w:space="708"/>
          <w:docGrid w:linePitch="381"/>
        </w:sectPr>
      </w:pPr>
      <w:r w:rsidRPr="009678F4">
        <w:rPr>
          <w:rFonts w:eastAsia="Times New Roman" w:cs="Times New Roman"/>
          <w:b/>
          <w:szCs w:val="28"/>
        </w:rPr>
        <w:tab/>
        <w:t xml:space="preserve">- Về nội dung quy định </w:t>
      </w:r>
      <w:r w:rsidR="003B17E7" w:rsidRPr="003B17E7">
        <w:rPr>
          <w:rFonts w:eastAsia="Times New Roman" w:cs="Times New Roman"/>
          <w:b/>
          <w:szCs w:val="28"/>
        </w:rPr>
        <w:t>đơn vị</w:t>
      </w:r>
      <w:r w:rsidRPr="009678F4">
        <w:rPr>
          <w:rFonts w:eastAsia="Times New Roman" w:cs="Times New Roman"/>
          <w:b/>
          <w:szCs w:val="28"/>
        </w:rPr>
        <w:t xml:space="preserve"> nhận ủng hộ, tài trợ </w:t>
      </w:r>
      <w:r w:rsidRPr="009678F4">
        <w:rPr>
          <w:rFonts w:eastAsia="Times New Roman" w:cs="Times New Roman"/>
          <w:i/>
          <w:szCs w:val="28"/>
        </w:rPr>
        <w:t>(khoản 2 Điều 2 dự thảo Nghị định)</w:t>
      </w:r>
      <w:r w:rsidRPr="009678F4">
        <w:rPr>
          <w:rFonts w:eastAsia="Times New Roman" w:cs="Times New Roman"/>
          <w:b/>
          <w:szCs w:val="28"/>
        </w:rPr>
        <w:t>:</w:t>
      </w:r>
      <w:r w:rsidRPr="009678F4">
        <w:rPr>
          <w:rFonts w:eastAsia="Times New Roman" w:cs="Times New Roman"/>
          <w:szCs w:val="28"/>
        </w:rPr>
        <w:t xml:space="preserve"> một số ý kiến (Thông tấn xã Việt Nam, UBND thành phố Đà Nẵng) đề nghị bổ sung thêm đối tượng là cơ quan báo chí, tổ chức đoàn thanh niên các cấp; một số ý kiến (Bộ Giáo dục đào tạo, Bộ Văn hóa Thể thao và Du lịch, Bộ Ngoại giao, UBND tỉnh Nghệ An, UBND tỉnh Bạc Liêu, UBND tỉnh Lạng Sơn) đề nghị chỉnh sửa nội dung để đảm bảo phù hợp với pháp luật liên quan và thực tế, Bộ Tài chính đã nghiên cứu, tiếp thu các ý kiến tham gia và hoàn chỉnh lại nội dung tại khoản 2 Điều 2 dự thảo Nghị định như sau:</w:t>
      </w:r>
    </w:p>
    <w:p w:rsidR="009678F4" w:rsidRPr="009678F4" w:rsidRDefault="009678F4" w:rsidP="009678F4">
      <w:pPr>
        <w:jc w:val="both"/>
        <w:rPr>
          <w:rFonts w:eastAsia="Times New Roman" w:cs="Times New Roman"/>
          <w:szCs w:val="28"/>
        </w:rPr>
      </w:pPr>
      <w:r w:rsidRPr="009678F4">
        <w:rPr>
          <w:rFonts w:eastAsia="Times New Roman" w:cs="Times New Roman"/>
          <w:szCs w:val="28"/>
        </w:rPr>
        <w:lastRenderedPageBreak/>
        <w:tab/>
      </w:r>
      <w:r w:rsidRPr="009678F4">
        <w:rPr>
          <w:rFonts w:eastAsia="Times New Roman" w:cs="Times New Roman"/>
          <w:i/>
          <w:szCs w:val="28"/>
        </w:rPr>
        <w:t>“2. Đơn vị nhận ủng hộ, tài trợ bao gồm: Ủy ban Mặt trận Tổ qu</w:t>
      </w:r>
      <w:r w:rsidR="006B52EE">
        <w:rPr>
          <w:rFonts w:eastAsia="Times New Roman" w:cs="Times New Roman"/>
          <w:i/>
          <w:szCs w:val="28"/>
        </w:rPr>
        <w:t>ốc Việt nam các cấp; cơ sở y tế</w:t>
      </w:r>
      <w:r w:rsidRPr="009678F4">
        <w:rPr>
          <w:rFonts w:eastAsia="Times New Roman" w:cs="Times New Roman"/>
          <w:i/>
          <w:szCs w:val="28"/>
        </w:rPr>
        <w:t>; đơn vị lực lượng vũ trang; đơn vị, tổ chức được cơ quan nhà nước có thẩm quyền giao nhiệm vụ làm cơ sở y tế cách ly tập trung; cơ sở giáo dục; cơ quan báo chí; tổ chức đảng, đoàn thanh niên, công đoàn các cấp ở trung ương và địa phương; cơ quan, đơn vị chính quyền địa phương các cấp có chức năng huy động tài trợ; Quỹ phòng, chống dịch Covid-19 các cấp; Cổng thông tin điện tử nhân đạo quốc gia; quỹ từ thiện, nhân đạo và tổ chức có chức năng huy động tài trợ được thành lập, hoạt động theo quy định của pháp luật.”.</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r>
      <w:r w:rsidRPr="009678F4">
        <w:rPr>
          <w:rFonts w:eastAsia="Times New Roman" w:cs="Times New Roman"/>
          <w:b/>
          <w:szCs w:val="28"/>
        </w:rPr>
        <w:t>- Về hồ sơ xác định khoản chi ủng hộ, tài trợ:</w:t>
      </w:r>
      <w:r w:rsidRPr="009678F4">
        <w:rPr>
          <w:rFonts w:eastAsia="Times New Roman" w:cs="Times New Roman"/>
          <w:szCs w:val="28"/>
        </w:rPr>
        <w:t xml:space="preserve"> một số ý kiến (Bộ Tư pháp, Bộ Văn hóa Thể thao và Du lịch, Bộ Kế hoạch và Đầu tư) đề nghị không quy định “các tài liệu khác” hay “các chứng từ khác liên quan” mà cần quy định mang tính bao quát hoặc quy định cụ thể các tài liệu, chứng từ nào để xác định khoản ủng hộ, tài trợ và đảm bảo minh bạch, tạo thuận lợi trong thực hiện. Trên cơ sở nghiên cứu, rà soát pháp luật </w:t>
      </w:r>
      <w:r w:rsidR="009D37DF" w:rsidRPr="009D37DF">
        <w:rPr>
          <w:rFonts w:eastAsia="Times New Roman" w:cs="Times New Roman"/>
          <w:szCs w:val="28"/>
        </w:rPr>
        <w:t>về</w:t>
      </w:r>
      <w:r w:rsidR="002711DF" w:rsidRPr="002711DF">
        <w:rPr>
          <w:rFonts w:eastAsia="Times New Roman" w:cs="Times New Roman"/>
          <w:szCs w:val="28"/>
        </w:rPr>
        <w:t xml:space="preserve"> quản lý thuế</w:t>
      </w:r>
      <w:r w:rsidRPr="009678F4">
        <w:rPr>
          <w:rFonts w:eastAsia="Times New Roman" w:cs="Times New Roman"/>
          <w:szCs w:val="28"/>
        </w:rPr>
        <w:t xml:space="preserve"> hiện hành về nội dung </w:t>
      </w:r>
      <w:r w:rsidR="002711DF" w:rsidRPr="002711DF">
        <w:rPr>
          <w:rFonts w:eastAsia="Times New Roman" w:cs="Times New Roman"/>
          <w:szCs w:val="28"/>
        </w:rPr>
        <w:t xml:space="preserve">hóa đơn, </w:t>
      </w:r>
      <w:r w:rsidRPr="009678F4">
        <w:rPr>
          <w:rFonts w:eastAsia="Times New Roman" w:cs="Times New Roman"/>
          <w:szCs w:val="28"/>
        </w:rPr>
        <w:t>chứng từ</w:t>
      </w:r>
      <w:r w:rsidR="002711DF" w:rsidRPr="002711DF">
        <w:rPr>
          <w:rFonts w:eastAsia="Times New Roman" w:cs="Times New Roman"/>
          <w:szCs w:val="28"/>
        </w:rPr>
        <w:t xml:space="preserve"> hợp pháp</w:t>
      </w:r>
      <w:r w:rsidRPr="009678F4">
        <w:rPr>
          <w:rFonts w:eastAsia="Times New Roman" w:cs="Times New Roman"/>
          <w:szCs w:val="28"/>
        </w:rPr>
        <w:t xml:space="preserve"> xác định khoản chi phí được trừ</w:t>
      </w:r>
      <w:r w:rsidR="002711DF" w:rsidRPr="002711DF">
        <w:rPr>
          <w:rFonts w:eastAsia="Times New Roman" w:cs="Times New Roman"/>
          <w:szCs w:val="28"/>
        </w:rPr>
        <w:t xml:space="preserve"> (</w:t>
      </w:r>
      <w:r w:rsidR="002711DF">
        <w:rPr>
          <w:rFonts w:eastAsia="Times New Roman" w:cs="Times New Roman"/>
          <w:szCs w:val="28"/>
        </w:rPr>
        <w:t>đư</w:t>
      </w:r>
      <w:r w:rsidR="002711DF" w:rsidRPr="002711DF">
        <w:rPr>
          <w:rFonts w:eastAsia="Times New Roman" w:cs="Times New Roman"/>
          <w:szCs w:val="28"/>
        </w:rPr>
        <w:t>ợc quy định cụ thể tại các Nghị định số 51/2010/NĐ-CP ngày 14/5/2010 của Chính phủ quy định về hóa đơn</w:t>
      </w:r>
      <w:r w:rsidR="002711DF">
        <w:rPr>
          <w:rFonts w:eastAsia="Times New Roman" w:cs="Times New Roman"/>
          <w:szCs w:val="28"/>
        </w:rPr>
        <w:t xml:space="preserve"> bán hàng hóa, cung ứng dịch vụ</w:t>
      </w:r>
      <w:r w:rsidR="002711DF" w:rsidRPr="002711DF">
        <w:rPr>
          <w:rFonts w:eastAsia="Times New Roman" w:cs="Times New Roman"/>
          <w:szCs w:val="28"/>
        </w:rPr>
        <w:t>; Nghị định số 04/2014/NĐ-CP ngày 17/01/2014 của Chính phủ sửa đổi, bổ sung một số điều của Nghị định số 51/2010/NĐ-CP; Nghị định số 119/2018/NĐ-CP ngày 12/9/2018 của Chính phủ quy định về hóa đơn điện tử khi bán hàng hóa, cung cấp dịch vụ và Nghị định số 123/2020/NĐ-CP ngày 19/10/2020 của Chính phủ quy định về hóa đơn, chứng từ)</w:t>
      </w:r>
      <w:r w:rsidRPr="009678F4">
        <w:rPr>
          <w:rFonts w:eastAsia="Times New Roman" w:cs="Times New Roman"/>
          <w:szCs w:val="28"/>
        </w:rPr>
        <w:t>, để phù hợp với thực tế và tạo thuận lợi trong thực hiện, Bộ Tài chính đã nghiên cứu chỉnh sửa lại nội dung khoản 3 Điều 2 dự thảo Nghị định theo hướng đảm bảo tính bao quát các trường hợp trong thực tế và phù hợp với quy định của pháp luật có liên quan, cụ thể như sau:</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r>
      <w:r w:rsidRPr="009678F4">
        <w:rPr>
          <w:rFonts w:eastAsia="Times New Roman" w:cs="Times New Roman"/>
          <w:i/>
          <w:szCs w:val="28"/>
        </w:rPr>
        <w:t>“3. Hồ sơ xác định khoản chi ủng hộ, tài trợ gồm có: Biên bản xác nhận ủng hộ, tài trợ theo mẫu ban hành kèm theo Nghị định này hoặc văn bản</w:t>
      </w:r>
      <w:r w:rsidR="00710C3C" w:rsidRPr="00710C3C">
        <w:rPr>
          <w:rFonts w:eastAsia="Times New Roman" w:cs="Times New Roman"/>
          <w:i/>
          <w:szCs w:val="28"/>
        </w:rPr>
        <w:t>, tài liệu</w:t>
      </w:r>
      <w:r w:rsidRPr="009678F4">
        <w:rPr>
          <w:rFonts w:eastAsia="Times New Roman" w:cs="Times New Roman"/>
          <w:i/>
          <w:szCs w:val="28"/>
        </w:rPr>
        <w:t xml:space="preserve"> (hình thức giấy hoặc điện tử) xác nhận khoản chi ủng hộ, tài trợ có chữ ký, đóng dấu của người đại diện doanh nghiệp là bên ủng hộ, tài trợ và đại diện của đơn vị nhận ủng hộ, tài trợ; kèm theo hoá đơn, chứng từ</w:t>
      </w:r>
      <w:r w:rsidR="002711DF" w:rsidRPr="002711DF">
        <w:rPr>
          <w:rFonts w:eastAsia="Times New Roman" w:cs="Times New Roman"/>
          <w:i/>
          <w:szCs w:val="28"/>
        </w:rPr>
        <w:t xml:space="preserve"> hợp pháp</w:t>
      </w:r>
      <w:r w:rsidRPr="009678F4">
        <w:rPr>
          <w:rFonts w:eastAsia="Times New Roman" w:cs="Times New Roman"/>
          <w:i/>
          <w:szCs w:val="28"/>
        </w:rPr>
        <w:t xml:space="preserve"> theo quy định của pháp luật của khoản ủng hộ, tài trợ bằng tiền hoặc hiện vật.”</w:t>
      </w:r>
      <w:r w:rsidRPr="009678F4">
        <w:rPr>
          <w:rFonts w:eastAsia="Times New Roman" w:cs="Times New Roman"/>
          <w:szCs w:val="28"/>
        </w:rPr>
        <w:t>.</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t>- Ngoài ra, Bộ Tài chính cũng đã tiếp thu một số ý kiến về mặt câu chữ, hoàn chỉnh dự thảo Nghị định.</w:t>
      </w:r>
    </w:p>
    <w:p w:rsidR="009678F4" w:rsidRPr="009678F4" w:rsidRDefault="009678F4" w:rsidP="009678F4">
      <w:pPr>
        <w:jc w:val="both"/>
        <w:rPr>
          <w:rFonts w:eastAsia="Times New Roman" w:cs="Times New Roman"/>
          <w:b/>
          <w:szCs w:val="28"/>
        </w:rPr>
      </w:pPr>
      <w:r w:rsidRPr="009678F4">
        <w:rPr>
          <w:rFonts w:eastAsia="Times New Roman" w:cs="Times New Roman"/>
          <w:b/>
          <w:szCs w:val="28"/>
        </w:rPr>
        <w:tab/>
        <w:t>2. Về các nội dung giải trình</w:t>
      </w:r>
    </w:p>
    <w:p w:rsidR="009678F4" w:rsidRPr="009678F4" w:rsidRDefault="009678F4" w:rsidP="009678F4">
      <w:pPr>
        <w:jc w:val="both"/>
        <w:rPr>
          <w:rFonts w:eastAsia="Times New Roman" w:cs="Times New Roman"/>
          <w:szCs w:val="28"/>
        </w:rPr>
      </w:pPr>
      <w:r w:rsidRPr="009678F4">
        <w:rPr>
          <w:rFonts w:eastAsia="Times New Roman" w:cs="Times New Roman"/>
          <w:szCs w:val="28"/>
        </w:rPr>
        <w:tab/>
        <w:t>- Có ý kiến (Bộ Nông nghiệp và Phát triển nông thôn, UBND tỉnh Lai Châu, UBND tỉnh Long An) đề nghị quy định đối tượng nhận ủng hộ là cơ quan, đơn vị công lập và tại mẫu Biên bản xác nhận ủng hộ, tài trợ có thể chi tiết thêm nội dung ủng hộ nếu cần thiết; có ý kiến đề nghị bổ sung thêm việc tài trợ “chi phí vận chuyển”. Qua nghiên cứu, Bộ Tài chính thấy rằng với nội dung dự thảo Nghị định được chỉnh sửa lại theo các nội dung đã tiếp thu nêu trên là đã đảm bảo tính bao quát và tạo thuận lợi trong thực hiện, phù hợp với thực tế.</w:t>
      </w:r>
    </w:p>
    <w:p w:rsidR="009678F4" w:rsidRPr="009678F4" w:rsidRDefault="009678F4" w:rsidP="009678F4">
      <w:pPr>
        <w:jc w:val="both"/>
        <w:rPr>
          <w:rFonts w:eastAsia="Times New Roman" w:cs="Times New Roman"/>
          <w:szCs w:val="28"/>
        </w:rPr>
      </w:pPr>
      <w:r w:rsidRPr="009678F4">
        <w:rPr>
          <w:rFonts w:eastAsia="Times New Roman" w:cs="Times New Roman"/>
          <w:szCs w:val="28"/>
        </w:rPr>
        <w:lastRenderedPageBreak/>
        <w:tab/>
        <w:t>- Có ý kiến (Tập đoàn Vingroup) đề nghị bổ sung quy định cho tính vào chi phí được trừ đối với khoản chi ủng hộ, tài trợ ở nước ngoài. Bộ Tài chính thấy rằng việc tài trợ ở nước ngoài sẽ không đúng với bản chất việc cho trừ chi phí tính thuế ở Việt Nam, dễ gian lận và không đảm bảo cho việc động viên</w:t>
      </w:r>
      <w:r w:rsidR="003B17E7" w:rsidRPr="003A7981">
        <w:rPr>
          <w:rFonts w:eastAsia="Times New Roman" w:cs="Times New Roman"/>
          <w:szCs w:val="28"/>
        </w:rPr>
        <w:t>,</w:t>
      </w:r>
      <w:r w:rsidRPr="009678F4">
        <w:rPr>
          <w:rFonts w:eastAsia="Times New Roman" w:cs="Times New Roman"/>
          <w:szCs w:val="28"/>
        </w:rPr>
        <w:t xml:space="preserve"> khuyến khích của Nhà nước</w:t>
      </w:r>
      <w:r w:rsidR="003B17E7" w:rsidRPr="003B17E7">
        <w:rPr>
          <w:rFonts w:eastAsia="Times New Roman" w:cs="Times New Roman"/>
          <w:szCs w:val="28"/>
        </w:rPr>
        <w:t xml:space="preserve"> cho</w:t>
      </w:r>
      <w:r w:rsidRPr="009678F4">
        <w:rPr>
          <w:rFonts w:eastAsia="Times New Roman" w:cs="Times New Roman"/>
          <w:szCs w:val="28"/>
        </w:rPr>
        <w:t xml:space="preserve"> đúng đối tượng.</w:t>
      </w:r>
    </w:p>
    <w:p w:rsidR="009678F4" w:rsidRPr="003B17E7" w:rsidRDefault="009678F4" w:rsidP="009678F4">
      <w:pPr>
        <w:jc w:val="both"/>
        <w:rPr>
          <w:rFonts w:eastAsia="Times New Roman" w:cs="Times New Roman"/>
          <w:szCs w:val="28"/>
        </w:rPr>
      </w:pPr>
      <w:r w:rsidRPr="009678F4">
        <w:rPr>
          <w:rFonts w:eastAsia="Times New Roman" w:cs="Times New Roman"/>
          <w:szCs w:val="28"/>
        </w:rPr>
        <w:tab/>
        <w:t xml:space="preserve">- Có ý kiến (Bộ Kế hoạch và Đầu tư, Tập đoàn Vingroup) đề nghị </w:t>
      </w:r>
      <w:r w:rsidR="003B17E7" w:rsidRPr="003B17E7">
        <w:rPr>
          <w:rFonts w:eastAsia="Times New Roman" w:cs="Times New Roman"/>
          <w:szCs w:val="28"/>
        </w:rPr>
        <w:t>nêu rõ</w:t>
      </w:r>
      <w:r w:rsidRPr="009678F4">
        <w:rPr>
          <w:rFonts w:eastAsia="Times New Roman" w:cs="Times New Roman"/>
          <w:szCs w:val="28"/>
        </w:rPr>
        <w:t xml:space="preserve"> về kỳ tính thuế</w:t>
      </w:r>
      <w:r w:rsidR="003B17E7" w:rsidRPr="003B17E7">
        <w:rPr>
          <w:rFonts w:eastAsia="Times New Roman" w:cs="Times New Roman"/>
          <w:szCs w:val="28"/>
        </w:rPr>
        <w:t xml:space="preserve"> TNDN</w:t>
      </w:r>
      <w:r w:rsidRPr="009678F4">
        <w:rPr>
          <w:rFonts w:eastAsia="Times New Roman" w:cs="Times New Roman"/>
          <w:szCs w:val="28"/>
        </w:rPr>
        <w:t xml:space="preserve"> được áp dụng chi phí được trừ đối với khoản ủng hộ, tài trợ cho hoạt động phòng chống</w:t>
      </w:r>
      <w:r w:rsidR="003B17E7" w:rsidRPr="003B17E7">
        <w:rPr>
          <w:rFonts w:eastAsia="Times New Roman" w:cs="Times New Roman"/>
          <w:szCs w:val="28"/>
        </w:rPr>
        <w:t xml:space="preserve"> dịch</w:t>
      </w:r>
      <w:r w:rsidRPr="009678F4">
        <w:rPr>
          <w:rFonts w:eastAsia="Times New Roman" w:cs="Times New Roman"/>
          <w:szCs w:val="28"/>
        </w:rPr>
        <w:t xml:space="preserve"> Covid-19. Về nội dung này, do kỳ tính thuế</w:t>
      </w:r>
      <w:r w:rsidR="003B17E7" w:rsidRPr="003B17E7">
        <w:rPr>
          <w:rFonts w:eastAsia="Times New Roman" w:cs="Times New Roman"/>
          <w:szCs w:val="28"/>
        </w:rPr>
        <w:t xml:space="preserve"> TNDN</w:t>
      </w:r>
      <w:r w:rsidRPr="009678F4">
        <w:rPr>
          <w:rFonts w:eastAsia="Times New Roman" w:cs="Times New Roman"/>
          <w:szCs w:val="28"/>
        </w:rPr>
        <w:t xml:space="preserve"> năm 2020 được quyết toán </w:t>
      </w:r>
      <w:r w:rsidR="003B17E7" w:rsidRPr="003B17E7">
        <w:rPr>
          <w:rFonts w:eastAsia="Times New Roman" w:cs="Times New Roman"/>
          <w:szCs w:val="28"/>
        </w:rPr>
        <w:t>chậm nhất tr</w:t>
      </w:r>
      <w:r w:rsidR="003B17E7">
        <w:rPr>
          <w:rFonts w:eastAsia="Times New Roman" w:cs="Times New Roman"/>
          <w:szCs w:val="28"/>
        </w:rPr>
        <w:t>ư</w:t>
      </w:r>
      <w:r w:rsidR="003B17E7" w:rsidRPr="003B17E7">
        <w:rPr>
          <w:rFonts w:eastAsia="Times New Roman" w:cs="Times New Roman"/>
          <w:szCs w:val="28"/>
        </w:rPr>
        <w:t>ớc ngày 31/3/</w:t>
      </w:r>
      <w:r w:rsidRPr="009678F4">
        <w:rPr>
          <w:rFonts w:eastAsia="Times New Roman" w:cs="Times New Roman"/>
          <w:szCs w:val="28"/>
        </w:rPr>
        <w:t xml:space="preserve">2021 và Nghị quyết số 128/2020/QH14 của Quốc hội áp dụng cho năm 2021 nên Nghị định sẽ áp dụng cho kỳ tính thuế </w:t>
      </w:r>
      <w:r w:rsidR="003B17E7" w:rsidRPr="003B17E7">
        <w:rPr>
          <w:rFonts w:eastAsia="Times New Roman" w:cs="Times New Roman"/>
          <w:szCs w:val="28"/>
        </w:rPr>
        <w:t xml:space="preserve">TNDN </w:t>
      </w:r>
      <w:r w:rsidRPr="009678F4">
        <w:rPr>
          <w:rFonts w:eastAsia="Times New Roman" w:cs="Times New Roman"/>
          <w:szCs w:val="28"/>
        </w:rPr>
        <w:t>năm 2020 và năm 2021; sau năm 2021 sẽ tổng kết, đánh giá</w:t>
      </w:r>
      <w:r w:rsidR="003B17E7" w:rsidRPr="003B17E7">
        <w:rPr>
          <w:rFonts w:eastAsia="Times New Roman" w:cs="Times New Roman"/>
          <w:szCs w:val="28"/>
        </w:rPr>
        <w:t xml:space="preserve"> quá trình</w:t>
      </w:r>
      <w:r w:rsidRPr="009678F4">
        <w:rPr>
          <w:rFonts w:eastAsia="Times New Roman" w:cs="Times New Roman"/>
          <w:szCs w:val="28"/>
        </w:rPr>
        <w:t xml:space="preserve"> thực hiện và trên cơ sở tình hình thực tế để nghiên cứu, bổ sung quy định </w:t>
      </w:r>
      <w:r w:rsidR="003B17E7" w:rsidRPr="003B17E7">
        <w:rPr>
          <w:rFonts w:eastAsia="Times New Roman" w:cs="Times New Roman"/>
          <w:szCs w:val="28"/>
        </w:rPr>
        <w:t>tại Luật</w:t>
      </w:r>
      <w:r w:rsidRPr="009678F4">
        <w:rPr>
          <w:rFonts w:eastAsia="Times New Roman" w:cs="Times New Roman"/>
          <w:szCs w:val="28"/>
        </w:rPr>
        <w:t xml:space="preserve"> thuế TNDN</w:t>
      </w:r>
      <w:r w:rsidR="003B17E7" w:rsidRPr="003B17E7">
        <w:rPr>
          <w:rFonts w:eastAsia="Times New Roman" w:cs="Times New Roman"/>
          <w:szCs w:val="28"/>
        </w:rPr>
        <w:t xml:space="preserve"> sửa </w:t>
      </w:r>
      <w:r w:rsidR="003B17E7">
        <w:rPr>
          <w:rFonts w:eastAsia="Times New Roman" w:cs="Times New Roman"/>
          <w:szCs w:val="28"/>
        </w:rPr>
        <w:t>đ</w:t>
      </w:r>
      <w:r w:rsidR="003B17E7" w:rsidRPr="003B17E7">
        <w:rPr>
          <w:rFonts w:eastAsia="Times New Roman" w:cs="Times New Roman"/>
          <w:szCs w:val="28"/>
        </w:rPr>
        <w:t>ổi</w:t>
      </w:r>
      <w:r w:rsidRPr="009678F4">
        <w:rPr>
          <w:rFonts w:eastAsia="Times New Roman" w:cs="Times New Roman"/>
          <w:szCs w:val="28"/>
        </w:rPr>
        <w:t xml:space="preserve">. </w:t>
      </w:r>
    </w:p>
    <w:p w:rsidR="009678F4" w:rsidRPr="003B17E7" w:rsidRDefault="009678F4" w:rsidP="009678F4">
      <w:pPr>
        <w:jc w:val="both"/>
        <w:rPr>
          <w:rFonts w:eastAsia="Times New Roman" w:cs="Times New Roman"/>
          <w:szCs w:val="28"/>
        </w:rPr>
      </w:pPr>
      <w:r w:rsidRPr="003B17E7">
        <w:rPr>
          <w:rFonts w:eastAsia="Times New Roman" w:cs="Times New Roman"/>
          <w:szCs w:val="28"/>
        </w:rPr>
        <w:tab/>
        <w:t xml:space="preserve">Trên đây là nội dung báo cáo giải trình, tiếp thu các ý kiến tham gia đối với dự thảo Nghị định </w:t>
      </w:r>
      <w:r w:rsidRPr="009678F4">
        <w:rPr>
          <w:rFonts w:eastAsia="Times New Roman" w:cs="Times New Roman"/>
          <w:szCs w:val="28"/>
        </w:rPr>
        <w:t>hướng dẫn thực hiện chi phí được trừ khi xác định thu nhập chịu thuế TNDN đối với khoản chi ủng hộ, tài trợ cho các hoạt động phòng, chống dịch Covid-1</w:t>
      </w:r>
      <w:r w:rsidRPr="003B17E7">
        <w:rPr>
          <w:rFonts w:eastAsia="Times New Roman" w:cs="Times New Roman"/>
          <w:szCs w:val="28"/>
        </w:rPr>
        <w:t>9./.</w:t>
      </w:r>
    </w:p>
    <w:p w:rsidR="007F64B6" w:rsidRPr="007F64B6" w:rsidRDefault="007F64B6" w:rsidP="007F64B6">
      <w:pPr>
        <w:jc w:val="both"/>
        <w:rPr>
          <w:rFonts w:eastAsia="Times New Roman" w:cs="Times New Roman"/>
          <w:szCs w:val="28"/>
          <w:lang w:val="pl-PL"/>
        </w:rPr>
      </w:pPr>
      <w:r w:rsidRPr="007F64B6">
        <w:rPr>
          <w:rFonts w:eastAsia="Times New Roman" w:cs="Times New Roman"/>
          <w:szCs w:val="28"/>
          <w:lang w:val="pt-BR"/>
        </w:rPr>
        <w:tab/>
      </w:r>
      <w:r w:rsidRPr="007F64B6">
        <w:rPr>
          <w:rFonts w:eastAsia="Times New Roman" w:cs="Times New Roman"/>
          <w:szCs w:val="28"/>
          <w:lang w:val="pl-PL"/>
        </w:rPr>
        <w:t>(</w:t>
      </w:r>
      <w:r w:rsidRPr="007F64B6">
        <w:rPr>
          <w:rFonts w:eastAsia="Times New Roman" w:cs="Times New Roman"/>
          <w:i/>
          <w:szCs w:val="28"/>
          <w:lang w:val="pl-PL"/>
        </w:rPr>
        <w:t>Bảng tổng hợp chi tiết kèm</w:t>
      </w:r>
      <w:r w:rsidR="001174E8">
        <w:rPr>
          <w:rFonts w:eastAsia="Times New Roman" w:cs="Times New Roman"/>
          <w:i/>
          <w:szCs w:val="28"/>
          <w:lang w:val="pl-PL"/>
        </w:rPr>
        <w:t xml:space="preserve"> theo</w:t>
      </w:r>
      <w:r w:rsidRPr="007F64B6">
        <w:rPr>
          <w:rFonts w:eastAsia="Times New Roman" w:cs="Times New Roman"/>
          <w:i/>
          <w:szCs w:val="28"/>
          <w:lang w:val="pl-PL"/>
        </w:rPr>
        <w:t>)</w:t>
      </w:r>
    </w:p>
    <w:p w:rsidR="007F64B6" w:rsidRPr="009678F4" w:rsidRDefault="009678F4" w:rsidP="009678F4">
      <w:pPr>
        <w:jc w:val="right"/>
        <w:rPr>
          <w:b/>
          <w:lang w:val="pt-BR"/>
        </w:rPr>
      </w:pPr>
      <w:r>
        <w:rPr>
          <w:b/>
          <w:lang w:val="pt-BR"/>
        </w:rPr>
        <w:t>B</w:t>
      </w:r>
      <w:r w:rsidRPr="009678F4">
        <w:rPr>
          <w:b/>
          <w:lang w:val="pt-BR"/>
        </w:rPr>
        <w:t>Ộ</w:t>
      </w:r>
      <w:r>
        <w:rPr>
          <w:b/>
          <w:lang w:val="pt-BR"/>
        </w:rPr>
        <w:t xml:space="preserve"> T</w:t>
      </w:r>
      <w:r w:rsidRPr="009678F4">
        <w:rPr>
          <w:b/>
          <w:lang w:val="pt-BR"/>
        </w:rPr>
        <w:t>ÀI</w:t>
      </w:r>
      <w:r>
        <w:rPr>
          <w:b/>
          <w:lang w:val="pt-BR"/>
        </w:rPr>
        <w:t xml:space="preserve"> CH</w:t>
      </w:r>
      <w:r w:rsidRPr="009678F4">
        <w:rPr>
          <w:b/>
          <w:lang w:val="pt-BR"/>
        </w:rPr>
        <w:t>ÍNH</w:t>
      </w:r>
    </w:p>
    <w:sectPr w:rsidR="007F64B6" w:rsidRPr="009678F4" w:rsidSect="003A7981">
      <w:headerReference w:type="default" r:id="rId9"/>
      <w:pgSz w:w="11906" w:h="16838" w:code="9"/>
      <w:pgMar w:top="1134" w:right="1134" w:bottom="340" w:left="1701" w:header="39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B5" w:rsidRDefault="003534B5" w:rsidP="00B21012">
      <w:pPr>
        <w:spacing w:before="0" w:after="0"/>
      </w:pPr>
      <w:r>
        <w:separator/>
      </w:r>
    </w:p>
  </w:endnote>
  <w:endnote w:type="continuationSeparator" w:id="0">
    <w:p w:rsidR="003534B5" w:rsidRDefault="003534B5" w:rsidP="00B2101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Arial">
    <w:altName w:val="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BF7" w:rsidRDefault="00A61BF7">
    <w:pPr>
      <w:pStyle w:val="Footer"/>
      <w:jc w:val="right"/>
    </w:pPr>
  </w:p>
  <w:p w:rsidR="00A61BF7" w:rsidRDefault="00A61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B5" w:rsidRDefault="003534B5" w:rsidP="00B21012">
      <w:pPr>
        <w:spacing w:before="0" w:after="0"/>
      </w:pPr>
      <w:r>
        <w:separator/>
      </w:r>
    </w:p>
  </w:footnote>
  <w:footnote w:type="continuationSeparator" w:id="0">
    <w:p w:rsidR="003534B5" w:rsidRDefault="003534B5" w:rsidP="00B2101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81" w:rsidRDefault="003A7981">
    <w:pPr>
      <w:pStyle w:val="Header"/>
      <w:jc w:val="center"/>
    </w:pPr>
  </w:p>
  <w:p w:rsidR="009678F4" w:rsidRDefault="00967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4424"/>
      <w:docPartObj>
        <w:docPartGallery w:val="Page Numbers (Top of Page)"/>
        <w:docPartUnique/>
      </w:docPartObj>
    </w:sdtPr>
    <w:sdtContent>
      <w:p w:rsidR="003A7981" w:rsidRDefault="00CF4B77">
        <w:pPr>
          <w:pStyle w:val="Header"/>
          <w:jc w:val="center"/>
        </w:pPr>
        <w:fldSimple w:instr=" PAGE   \* MERGEFORMAT ">
          <w:r w:rsidR="002B48E2">
            <w:rPr>
              <w:noProof/>
            </w:rPr>
            <w:t>3</w:t>
          </w:r>
        </w:fldSimple>
      </w:p>
    </w:sdtContent>
  </w:sdt>
  <w:p w:rsidR="003A7981" w:rsidRDefault="003A79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F64B6"/>
    <w:rsid w:val="000020FC"/>
    <w:rsid w:val="00005B76"/>
    <w:rsid w:val="00036EAE"/>
    <w:rsid w:val="00065665"/>
    <w:rsid w:val="000C7DF8"/>
    <w:rsid w:val="001174E8"/>
    <w:rsid w:val="0012430A"/>
    <w:rsid w:val="00217331"/>
    <w:rsid w:val="00221DCE"/>
    <w:rsid w:val="0023181C"/>
    <w:rsid w:val="002326A4"/>
    <w:rsid w:val="00243755"/>
    <w:rsid w:val="00270FEB"/>
    <w:rsid w:val="002711DF"/>
    <w:rsid w:val="00272430"/>
    <w:rsid w:val="00287998"/>
    <w:rsid w:val="00294332"/>
    <w:rsid w:val="002B48E2"/>
    <w:rsid w:val="002B5647"/>
    <w:rsid w:val="002D46C6"/>
    <w:rsid w:val="00300366"/>
    <w:rsid w:val="00317318"/>
    <w:rsid w:val="003328B7"/>
    <w:rsid w:val="003534B5"/>
    <w:rsid w:val="0035363F"/>
    <w:rsid w:val="003540BE"/>
    <w:rsid w:val="00361C19"/>
    <w:rsid w:val="003A1F28"/>
    <w:rsid w:val="003A676D"/>
    <w:rsid w:val="003A7981"/>
    <w:rsid w:val="003B17E7"/>
    <w:rsid w:val="003C7E82"/>
    <w:rsid w:val="003D184F"/>
    <w:rsid w:val="003E5D61"/>
    <w:rsid w:val="004627D6"/>
    <w:rsid w:val="00471384"/>
    <w:rsid w:val="004744B1"/>
    <w:rsid w:val="00482368"/>
    <w:rsid w:val="004B6A8F"/>
    <w:rsid w:val="004E4CE0"/>
    <w:rsid w:val="005056E7"/>
    <w:rsid w:val="00592D8E"/>
    <w:rsid w:val="00593909"/>
    <w:rsid w:val="005A1C14"/>
    <w:rsid w:val="005A5891"/>
    <w:rsid w:val="006171AC"/>
    <w:rsid w:val="00626CBC"/>
    <w:rsid w:val="0068753E"/>
    <w:rsid w:val="006B52EE"/>
    <w:rsid w:val="00710C3C"/>
    <w:rsid w:val="0073514B"/>
    <w:rsid w:val="00762503"/>
    <w:rsid w:val="00780405"/>
    <w:rsid w:val="00785AEC"/>
    <w:rsid w:val="00797798"/>
    <w:rsid w:val="007B2A6A"/>
    <w:rsid w:val="007D177F"/>
    <w:rsid w:val="007D43E5"/>
    <w:rsid w:val="007F64B6"/>
    <w:rsid w:val="0082036B"/>
    <w:rsid w:val="00821A5E"/>
    <w:rsid w:val="00827162"/>
    <w:rsid w:val="008534BB"/>
    <w:rsid w:val="008E49AC"/>
    <w:rsid w:val="008F4478"/>
    <w:rsid w:val="00904504"/>
    <w:rsid w:val="009678F4"/>
    <w:rsid w:val="009D37DF"/>
    <w:rsid w:val="009E39B2"/>
    <w:rsid w:val="00A01879"/>
    <w:rsid w:val="00A6080B"/>
    <w:rsid w:val="00A61BF7"/>
    <w:rsid w:val="00A65965"/>
    <w:rsid w:val="00A85F9C"/>
    <w:rsid w:val="00AA1344"/>
    <w:rsid w:val="00B21012"/>
    <w:rsid w:val="00B6157A"/>
    <w:rsid w:val="00B85280"/>
    <w:rsid w:val="00B971FB"/>
    <w:rsid w:val="00BA7107"/>
    <w:rsid w:val="00BB112C"/>
    <w:rsid w:val="00C04264"/>
    <w:rsid w:val="00C41628"/>
    <w:rsid w:val="00C42442"/>
    <w:rsid w:val="00C46C77"/>
    <w:rsid w:val="00C62FED"/>
    <w:rsid w:val="00C81095"/>
    <w:rsid w:val="00C93605"/>
    <w:rsid w:val="00CC124E"/>
    <w:rsid w:val="00CC742D"/>
    <w:rsid w:val="00CF22EC"/>
    <w:rsid w:val="00CF4B77"/>
    <w:rsid w:val="00D07188"/>
    <w:rsid w:val="00D601D5"/>
    <w:rsid w:val="00DB5318"/>
    <w:rsid w:val="00DE1714"/>
    <w:rsid w:val="00DE7287"/>
    <w:rsid w:val="00E11C89"/>
    <w:rsid w:val="00E2495A"/>
    <w:rsid w:val="00E461B9"/>
    <w:rsid w:val="00E9353A"/>
    <w:rsid w:val="00E96C29"/>
    <w:rsid w:val="00EE5FB8"/>
    <w:rsid w:val="00F04831"/>
    <w:rsid w:val="00F7397D"/>
    <w:rsid w:val="00F8225C"/>
    <w:rsid w:val="00FC248F"/>
    <w:rsid w:val="00FE1F7F"/>
    <w:rsid w:val="00FF4956"/>
    <w:rsid w:val="00FF6F0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style>
  <w:style w:type="paragraph" w:styleId="Heading2">
    <w:name w:val="heading 2"/>
    <w:basedOn w:val="Normal"/>
    <w:next w:val="Normal"/>
    <w:link w:val="Heading2Char"/>
    <w:uiPriority w:val="9"/>
    <w:semiHidden/>
    <w:unhideWhenUsed/>
    <w:qFormat/>
    <w:rsid w:val="007F64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64B6"/>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7F64B6"/>
  </w:style>
  <w:style w:type="paragraph" w:styleId="Header">
    <w:name w:val="header"/>
    <w:basedOn w:val="Normal"/>
    <w:link w:val="HeaderChar"/>
    <w:uiPriority w:val="99"/>
    <w:unhideWhenUsed/>
    <w:rsid w:val="007F64B6"/>
    <w:pPr>
      <w:tabs>
        <w:tab w:val="center" w:pos="4513"/>
        <w:tab w:val="right" w:pos="9026"/>
      </w:tabs>
      <w:spacing w:before="0" w:after="0"/>
    </w:pPr>
  </w:style>
  <w:style w:type="character" w:customStyle="1" w:styleId="FooterChar">
    <w:name w:val="Footer Char"/>
    <w:basedOn w:val="DefaultParagraphFont"/>
    <w:link w:val="Footer"/>
    <w:uiPriority w:val="99"/>
    <w:rsid w:val="007F64B6"/>
  </w:style>
  <w:style w:type="paragraph" w:styleId="Footer">
    <w:name w:val="footer"/>
    <w:basedOn w:val="Normal"/>
    <w:link w:val="FooterChar"/>
    <w:uiPriority w:val="99"/>
    <w:unhideWhenUsed/>
    <w:rsid w:val="007F64B6"/>
    <w:pPr>
      <w:tabs>
        <w:tab w:val="center" w:pos="4513"/>
        <w:tab w:val="right" w:pos="9026"/>
      </w:tabs>
      <w:spacing w:before="0" w:after="0"/>
    </w:pPr>
  </w:style>
  <w:style w:type="character" w:customStyle="1" w:styleId="BalloonTextChar">
    <w:name w:val="Balloon Text Char"/>
    <w:basedOn w:val="DefaultParagraphFont"/>
    <w:link w:val="BalloonText"/>
    <w:uiPriority w:val="99"/>
    <w:semiHidden/>
    <w:rsid w:val="001174E8"/>
    <w:rPr>
      <w:rFonts w:ascii="Tahoma" w:hAnsi="Tahoma" w:cs="Tahoma"/>
      <w:sz w:val="16"/>
      <w:szCs w:val="16"/>
    </w:rPr>
  </w:style>
  <w:style w:type="paragraph" w:styleId="BalloonText">
    <w:name w:val="Balloon Text"/>
    <w:basedOn w:val="Normal"/>
    <w:link w:val="BalloonTextChar"/>
    <w:uiPriority w:val="99"/>
    <w:semiHidden/>
    <w:unhideWhenUsed/>
    <w:rsid w:val="001174E8"/>
    <w:pPr>
      <w:spacing w:before="0" w:after="0"/>
    </w:pPr>
    <w:rPr>
      <w:rFonts w:ascii="Tahoma" w:hAnsi="Tahoma" w:cs="Tahoma"/>
      <w:sz w:val="16"/>
      <w:szCs w:val="16"/>
    </w:rPr>
  </w:style>
  <w:style w:type="character" w:styleId="Hyperlink">
    <w:name w:val="Hyperlink"/>
    <w:basedOn w:val="DefaultParagraphFont"/>
    <w:uiPriority w:val="99"/>
    <w:unhideWhenUsed/>
    <w:rsid w:val="002711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84E7F-884A-436F-914F-21C7DFECC071}">
  <ds:schemaRefs>
    <ds:schemaRef ds:uri="http://schemas.openxmlformats.org/officeDocument/2006/bibliography"/>
  </ds:schemaRefs>
</ds:datastoreItem>
</file>

<file path=customXml/itemProps2.xml><?xml version="1.0" encoding="utf-8"?>
<ds:datastoreItem xmlns:ds="http://schemas.openxmlformats.org/officeDocument/2006/customXml" ds:itemID="{DDBEC1CE-86E3-4E69-98D7-EC364E8BF16E}"/>
</file>

<file path=customXml/itemProps3.xml><?xml version="1.0" encoding="utf-8"?>
<ds:datastoreItem xmlns:ds="http://schemas.openxmlformats.org/officeDocument/2006/customXml" ds:itemID="{490D5A38-5686-4E99-A82B-0BA0BB39072F}"/>
</file>

<file path=customXml/itemProps4.xml><?xml version="1.0" encoding="utf-8"?>
<ds:datastoreItem xmlns:ds="http://schemas.openxmlformats.org/officeDocument/2006/customXml" ds:itemID="{89702BCA-8994-43C0-9400-91E3C5D0C767}"/>
</file>

<file path=docProps/app.xml><?xml version="1.0" encoding="utf-8"?>
<Properties xmlns="http://schemas.openxmlformats.org/officeDocument/2006/extended-properties" xmlns:vt="http://schemas.openxmlformats.org/officeDocument/2006/docPropsVTypes">
  <Template>Normal</Template>
  <TotalTime>58</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leminhkhiem</cp:lastModifiedBy>
  <cp:revision>10</cp:revision>
  <cp:lastPrinted>2021-01-12T07:43:00Z</cp:lastPrinted>
  <dcterms:created xsi:type="dcterms:W3CDTF">2021-01-06T03:56:00Z</dcterms:created>
  <dcterms:modified xsi:type="dcterms:W3CDTF">2021-01-12T08:13:00Z</dcterms:modified>
</cp:coreProperties>
</file>